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spacing w:before="1"/>
        <w:rPr>
          <w:rFonts w:ascii="Times New Roman"/>
          <w:sz w:val="29"/>
        </w:rPr>
      </w:pPr>
    </w:p>
    <w:p>
      <w:pPr>
        <w:spacing w:before="65"/>
        <w:ind w:left="226"/>
        <w:rPr>
          <w:rFonts w:ascii="Times New Roman" w:eastAsia="Times New Roman"/>
          <w:sz w:val="32"/>
          <w:lang w:eastAsia="zh-CN"/>
        </w:rPr>
      </w:pPr>
      <w:r>
        <w:rPr>
          <w:rFonts w:hint="eastAsia" w:ascii="黑体" w:eastAsia="黑体"/>
          <w:spacing w:val="-12"/>
          <w:w w:val="95"/>
          <w:sz w:val="32"/>
          <w:lang w:eastAsia="zh-CN"/>
        </w:rPr>
        <w:t xml:space="preserve">附件 </w:t>
      </w:r>
    </w:p>
    <w:p>
      <w:pPr>
        <w:pStyle w:val="2"/>
        <w:rPr>
          <w:rFonts w:ascii="Times New Roman"/>
          <w:sz w:val="34"/>
          <w:lang w:eastAsia="zh-CN"/>
        </w:rPr>
      </w:pPr>
    </w:p>
    <w:p>
      <w:pPr>
        <w:pStyle w:val="5"/>
        <w:spacing w:line="206" w:lineRule="auto"/>
        <w:rPr>
          <w:lang w:eastAsia="zh-CN"/>
        </w:rPr>
      </w:pPr>
      <w:r>
        <w:rPr>
          <w:rFonts w:ascii="Times New Roman" w:eastAsia="Times New Roman"/>
          <w:lang w:eastAsia="zh-CN"/>
        </w:rPr>
        <w:t>2023</w:t>
      </w:r>
      <w:r>
        <w:rPr>
          <w:rFonts w:ascii="Times New Roman" w:eastAsia="Times New Roman"/>
          <w:spacing w:val="-7"/>
          <w:lang w:eastAsia="zh-CN"/>
        </w:rPr>
        <w:t xml:space="preserve"> </w:t>
      </w:r>
      <w:r>
        <w:rPr>
          <w:lang w:eastAsia="zh-CN"/>
        </w:rPr>
        <w:t>年广西高等教育（本科）自治区级教学成果等次评定推荐成果汇总表</w:t>
      </w:r>
    </w:p>
    <w:p>
      <w:pPr>
        <w:pStyle w:val="2"/>
        <w:spacing w:before="12"/>
        <w:rPr>
          <w:rFonts w:ascii="Arial Unicode MS"/>
          <w:sz w:val="37"/>
          <w:lang w:eastAsia="zh-CN"/>
        </w:rPr>
      </w:pPr>
    </w:p>
    <w:p>
      <w:pPr>
        <w:tabs>
          <w:tab w:val="left" w:pos="5208"/>
          <w:tab w:val="left" w:pos="7111"/>
          <w:tab w:val="left" w:pos="7951"/>
          <w:tab w:val="left" w:pos="8791"/>
        </w:tabs>
        <w:spacing w:after="32"/>
        <w:ind w:left="226"/>
        <w:rPr>
          <w:sz w:val="28"/>
          <w:lang w:eastAsia="zh-CN"/>
        </w:rPr>
      </w:pPr>
      <w:r>
        <w:rPr>
          <w:sz w:val="28"/>
          <w:lang w:eastAsia="zh-CN"/>
        </w:rPr>
        <w:t>推荐单位(盖章)：</w:t>
      </w:r>
      <w:r>
        <w:rPr>
          <w:rFonts w:hint="eastAsia"/>
          <w:sz w:val="28"/>
          <w:lang w:val="en-US" w:eastAsia="zh-CN"/>
        </w:rPr>
        <w:t xml:space="preserve">南宁师范大学师园学院     </w:t>
      </w:r>
      <w:r>
        <w:rPr>
          <w:sz w:val="28"/>
          <w:lang w:eastAsia="zh-CN"/>
        </w:rPr>
        <w:t>填报日期：</w:t>
      </w:r>
      <w:r>
        <w:rPr>
          <w:rFonts w:hint="eastAsia"/>
          <w:sz w:val="28"/>
          <w:lang w:val="en-US" w:eastAsia="zh-CN"/>
        </w:rPr>
        <w:t>2023</w:t>
      </w:r>
      <w:r>
        <w:rPr>
          <w:sz w:val="28"/>
          <w:lang w:eastAsia="zh-CN"/>
        </w:rPr>
        <w:t>年</w:t>
      </w:r>
      <w:r>
        <w:rPr>
          <w:rFonts w:hint="eastAsia"/>
          <w:sz w:val="28"/>
          <w:lang w:val="en-US" w:eastAsia="zh-CN"/>
        </w:rPr>
        <w:t>6</w:t>
      </w:r>
      <w:r>
        <w:rPr>
          <w:sz w:val="28"/>
          <w:lang w:eastAsia="zh-CN"/>
        </w:rPr>
        <w:t>月</w:t>
      </w:r>
      <w:r>
        <w:rPr>
          <w:rFonts w:hint="eastAsia"/>
          <w:sz w:val="28"/>
          <w:lang w:val="en-US" w:eastAsia="zh-CN"/>
        </w:rPr>
        <w:t>30</w:t>
      </w:r>
      <w:r>
        <w:rPr>
          <w:sz w:val="28"/>
          <w:lang w:eastAsia="zh-CN"/>
        </w:rPr>
        <w:t>日</w:t>
      </w:r>
    </w:p>
    <w:tbl>
      <w:tblPr>
        <w:tblStyle w:val="8"/>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931"/>
        <w:gridCol w:w="1849"/>
        <w:gridCol w:w="1299"/>
        <w:gridCol w:w="926"/>
        <w:gridCol w:w="1481"/>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9" w:type="dxa"/>
          </w:tcPr>
          <w:p>
            <w:pPr>
              <w:pStyle w:val="10"/>
              <w:spacing w:before="2"/>
              <w:ind w:left="116"/>
              <w:rPr>
                <w:sz w:val="24"/>
              </w:rPr>
            </w:pPr>
            <w:r>
              <w:rPr>
                <w:sz w:val="24"/>
              </w:rPr>
              <w:t>推荐</w:t>
            </w:r>
          </w:p>
          <w:p>
            <w:pPr>
              <w:pStyle w:val="10"/>
              <w:spacing w:before="4" w:line="289" w:lineRule="exact"/>
              <w:ind w:left="116"/>
              <w:rPr>
                <w:sz w:val="24"/>
              </w:rPr>
            </w:pPr>
            <w:r>
              <w:rPr>
                <w:sz w:val="24"/>
              </w:rPr>
              <w:t>序号</w:t>
            </w:r>
          </w:p>
        </w:tc>
        <w:tc>
          <w:tcPr>
            <w:tcW w:w="1931" w:type="dxa"/>
          </w:tcPr>
          <w:p>
            <w:pPr>
              <w:pStyle w:val="10"/>
              <w:spacing w:before="158"/>
              <w:ind w:left="398"/>
              <w:rPr>
                <w:sz w:val="24"/>
              </w:rPr>
            </w:pPr>
            <w:r>
              <w:rPr>
                <w:sz w:val="24"/>
              </w:rPr>
              <w:t>成果名称</w:t>
            </w:r>
          </w:p>
        </w:tc>
        <w:tc>
          <w:tcPr>
            <w:tcW w:w="1849" w:type="dxa"/>
          </w:tcPr>
          <w:p>
            <w:pPr>
              <w:pStyle w:val="10"/>
              <w:spacing w:before="2"/>
              <w:ind w:left="259" w:right="251"/>
              <w:jc w:val="center"/>
              <w:rPr>
                <w:sz w:val="24"/>
              </w:rPr>
            </w:pPr>
            <w:r>
              <w:rPr>
                <w:sz w:val="24"/>
              </w:rPr>
              <w:t>主要完成人</w:t>
            </w:r>
          </w:p>
          <w:p>
            <w:pPr>
              <w:pStyle w:val="10"/>
              <w:spacing w:before="4" w:line="289" w:lineRule="exact"/>
              <w:ind w:left="259" w:right="251"/>
              <w:jc w:val="center"/>
              <w:rPr>
                <w:sz w:val="24"/>
              </w:rPr>
            </w:pPr>
            <w:r>
              <w:rPr>
                <w:sz w:val="24"/>
              </w:rPr>
              <w:t>姓名</w:t>
            </w:r>
          </w:p>
        </w:tc>
        <w:tc>
          <w:tcPr>
            <w:tcW w:w="1299" w:type="dxa"/>
          </w:tcPr>
          <w:p>
            <w:pPr>
              <w:pStyle w:val="10"/>
              <w:spacing w:before="2"/>
              <w:ind w:left="193" w:right="184"/>
              <w:jc w:val="center"/>
              <w:rPr>
                <w:sz w:val="24"/>
              </w:rPr>
            </w:pPr>
            <w:r>
              <w:rPr>
                <w:sz w:val="24"/>
              </w:rPr>
              <w:t>主要完成单位</w:t>
            </w:r>
          </w:p>
        </w:tc>
        <w:tc>
          <w:tcPr>
            <w:tcW w:w="926" w:type="dxa"/>
          </w:tcPr>
          <w:p>
            <w:pPr>
              <w:pStyle w:val="10"/>
              <w:spacing w:before="2"/>
              <w:ind w:left="222"/>
              <w:rPr>
                <w:sz w:val="24"/>
              </w:rPr>
            </w:pPr>
            <w:r>
              <w:rPr>
                <w:sz w:val="24"/>
              </w:rPr>
              <w:t>类别</w:t>
            </w:r>
          </w:p>
          <w:p>
            <w:pPr>
              <w:pStyle w:val="10"/>
              <w:spacing w:before="4" w:line="289" w:lineRule="exact"/>
              <w:ind w:left="222"/>
              <w:rPr>
                <w:sz w:val="24"/>
              </w:rPr>
            </w:pPr>
            <w:r>
              <w:rPr>
                <w:sz w:val="24"/>
              </w:rPr>
              <w:t>代码</w:t>
            </w:r>
          </w:p>
        </w:tc>
        <w:tc>
          <w:tcPr>
            <w:tcW w:w="1481" w:type="dxa"/>
          </w:tcPr>
          <w:p>
            <w:pPr>
              <w:pStyle w:val="10"/>
              <w:spacing w:before="2"/>
              <w:ind w:left="118" w:right="112"/>
              <w:jc w:val="center"/>
              <w:rPr>
                <w:sz w:val="24"/>
              </w:rPr>
            </w:pPr>
            <w:r>
              <w:rPr>
                <w:sz w:val="24"/>
              </w:rPr>
              <w:t>实践检验期</w:t>
            </w:r>
          </w:p>
          <w:p>
            <w:pPr>
              <w:pStyle w:val="10"/>
              <w:spacing w:before="4" w:line="289" w:lineRule="exact"/>
              <w:ind w:left="118" w:right="112"/>
              <w:jc w:val="center"/>
              <w:rPr>
                <w:sz w:val="24"/>
              </w:rPr>
            </w:pPr>
            <w:r>
              <w:rPr>
                <w:sz w:val="24"/>
              </w:rPr>
              <w:t>（年）</w:t>
            </w:r>
          </w:p>
        </w:tc>
        <w:tc>
          <w:tcPr>
            <w:tcW w:w="846" w:type="dxa"/>
          </w:tcPr>
          <w:p>
            <w:pPr>
              <w:pStyle w:val="10"/>
              <w:spacing w:before="158"/>
              <w:ind w:left="181"/>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29" w:type="dxa"/>
          </w:tcPr>
          <w:p>
            <w:pPr>
              <w:pStyle w:val="10"/>
              <w:ind w:firstLine="260" w:firstLineChars="100"/>
              <w:rPr>
                <w:rFonts w:hint="eastAsia" w:ascii="Times New Roman"/>
                <w:sz w:val="26"/>
                <w:lang w:val="en-US" w:eastAsia="zh-CN"/>
              </w:rPr>
            </w:pPr>
          </w:p>
          <w:p>
            <w:pPr>
              <w:pStyle w:val="10"/>
              <w:ind w:firstLine="260" w:firstLineChars="100"/>
              <w:rPr>
                <w:rFonts w:hint="eastAsia" w:ascii="Times New Roman"/>
                <w:sz w:val="26"/>
                <w:lang w:val="en-US" w:eastAsia="zh-CN"/>
              </w:rPr>
            </w:pPr>
          </w:p>
          <w:p>
            <w:pPr>
              <w:pStyle w:val="10"/>
              <w:ind w:firstLine="260" w:firstLineChars="100"/>
              <w:rPr>
                <w:rFonts w:hint="default" w:ascii="Times New Roman" w:eastAsia="宋体"/>
                <w:sz w:val="26"/>
                <w:lang w:val="en-US" w:eastAsia="zh-CN"/>
              </w:rPr>
            </w:pPr>
            <w:r>
              <w:rPr>
                <w:rFonts w:hint="eastAsia" w:ascii="Times New Roman"/>
                <w:sz w:val="26"/>
                <w:lang w:val="en-US" w:eastAsia="zh-CN"/>
              </w:rPr>
              <w:t>1</w:t>
            </w:r>
          </w:p>
        </w:tc>
        <w:tc>
          <w:tcPr>
            <w:tcW w:w="1931" w:type="dxa"/>
          </w:tcPr>
          <w:p>
            <w:pPr>
              <w:pStyle w:val="10"/>
              <w:rPr>
                <w:rFonts w:hint="default" w:ascii="Times New Roman" w:eastAsia="宋体"/>
                <w:sz w:val="26"/>
                <w:lang w:val="en-US" w:eastAsia="zh-CN"/>
              </w:rPr>
            </w:pPr>
            <w:r>
              <w:rPr>
                <w:rFonts w:hint="eastAsia" w:ascii="Times New Roman"/>
                <w:sz w:val="26"/>
                <w:lang w:val="en-US" w:eastAsia="zh-CN"/>
              </w:rPr>
              <w:t>新文科背景下广西少数民族文化融入新媒体广告类课程的实践与研究</w:t>
            </w:r>
            <w:bookmarkStart w:id="0" w:name="_GoBack"/>
            <w:bookmarkEnd w:id="0"/>
          </w:p>
        </w:tc>
        <w:tc>
          <w:tcPr>
            <w:tcW w:w="1849" w:type="dxa"/>
          </w:tcPr>
          <w:p>
            <w:pPr>
              <w:pStyle w:val="10"/>
              <w:rPr>
                <w:rFonts w:hint="default" w:ascii="Times New Roman" w:eastAsia="宋体"/>
                <w:sz w:val="26"/>
                <w:lang w:val="en-US" w:eastAsia="zh-CN"/>
              </w:rPr>
            </w:pPr>
            <w:r>
              <w:rPr>
                <w:rFonts w:hint="eastAsia" w:ascii="Times New Roman"/>
                <w:sz w:val="26"/>
                <w:lang w:val="en-US" w:eastAsia="zh-CN"/>
              </w:rPr>
              <w:t>潘美益、罗安中、潘洛、黎靖群、杨莹</w:t>
            </w:r>
          </w:p>
        </w:tc>
        <w:tc>
          <w:tcPr>
            <w:tcW w:w="1299" w:type="dxa"/>
          </w:tcPr>
          <w:p>
            <w:pPr>
              <w:pStyle w:val="10"/>
              <w:jc w:val="center"/>
              <w:rPr>
                <w:rFonts w:hint="default" w:ascii="Times New Roman" w:eastAsia="宋体"/>
                <w:sz w:val="26"/>
                <w:lang w:val="en-US" w:eastAsia="zh-CN"/>
              </w:rPr>
            </w:pPr>
            <w:r>
              <w:rPr>
                <w:rFonts w:hint="eastAsia" w:ascii="Times New Roman"/>
                <w:sz w:val="26"/>
                <w:lang w:val="en-US" w:eastAsia="zh-CN"/>
              </w:rPr>
              <w:t>南宁师范大学师园学院</w:t>
            </w:r>
          </w:p>
        </w:tc>
        <w:tc>
          <w:tcPr>
            <w:tcW w:w="926" w:type="dxa"/>
          </w:tcPr>
          <w:p>
            <w:pPr>
              <w:pStyle w:val="10"/>
              <w:jc w:val="center"/>
              <w:rPr>
                <w:rFonts w:hint="eastAsia" w:ascii="Times New Roman"/>
                <w:sz w:val="26"/>
                <w:lang w:val="en-US" w:eastAsia="zh-CN"/>
              </w:rPr>
            </w:pPr>
          </w:p>
          <w:p>
            <w:pPr>
              <w:pStyle w:val="10"/>
              <w:jc w:val="center"/>
              <w:rPr>
                <w:rFonts w:hint="default" w:ascii="Times New Roman" w:eastAsia="宋体"/>
                <w:sz w:val="26"/>
                <w:lang w:val="en-US" w:eastAsia="zh-CN"/>
              </w:rPr>
            </w:pPr>
            <w:r>
              <w:rPr>
                <w:rFonts w:hint="eastAsia" w:ascii="Times New Roman"/>
                <w:sz w:val="26"/>
                <w:lang w:val="en-US" w:eastAsia="zh-CN"/>
              </w:rPr>
              <w:t>11051</w:t>
            </w:r>
          </w:p>
        </w:tc>
        <w:tc>
          <w:tcPr>
            <w:tcW w:w="1481" w:type="dxa"/>
          </w:tcPr>
          <w:p>
            <w:pPr>
              <w:pStyle w:val="10"/>
              <w:jc w:val="center"/>
              <w:rPr>
                <w:rFonts w:hint="eastAsia" w:ascii="Times New Roman"/>
                <w:sz w:val="26"/>
                <w:lang w:val="en-US" w:eastAsia="zh-CN"/>
              </w:rPr>
            </w:pPr>
          </w:p>
          <w:p>
            <w:pPr>
              <w:pStyle w:val="10"/>
              <w:jc w:val="center"/>
              <w:rPr>
                <w:rFonts w:hint="eastAsia" w:ascii="Times New Roman"/>
                <w:sz w:val="26"/>
                <w:lang w:val="en-US" w:eastAsia="zh-CN"/>
              </w:rPr>
            </w:pPr>
          </w:p>
          <w:p>
            <w:pPr>
              <w:pStyle w:val="10"/>
              <w:jc w:val="center"/>
              <w:rPr>
                <w:rFonts w:hint="eastAsia" w:ascii="Times New Roman" w:eastAsia="宋体"/>
                <w:sz w:val="26"/>
                <w:lang w:val="en-US" w:eastAsia="zh-CN"/>
              </w:rPr>
            </w:pPr>
            <w:r>
              <w:rPr>
                <w:rFonts w:hint="eastAsia" w:ascii="Times New Roman"/>
                <w:sz w:val="26"/>
                <w:lang w:val="en-US" w:eastAsia="zh-CN"/>
              </w:rPr>
              <w:t>3.5</w:t>
            </w:r>
          </w:p>
        </w:tc>
        <w:tc>
          <w:tcPr>
            <w:tcW w:w="846" w:type="dxa"/>
          </w:tcPr>
          <w:p>
            <w:pPr>
              <w:pStyle w:val="1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29" w:type="dxa"/>
          </w:tcPr>
          <w:p>
            <w:pPr>
              <w:pStyle w:val="10"/>
              <w:ind w:firstLine="260" w:firstLineChars="100"/>
              <w:rPr>
                <w:rFonts w:hint="eastAsia" w:ascii="Times New Roman"/>
                <w:sz w:val="26"/>
                <w:lang w:val="en-US" w:eastAsia="zh-CN"/>
              </w:rPr>
            </w:pPr>
          </w:p>
          <w:p>
            <w:pPr>
              <w:pStyle w:val="10"/>
              <w:ind w:firstLine="260" w:firstLineChars="100"/>
              <w:rPr>
                <w:rFonts w:hint="eastAsia" w:ascii="Times New Roman"/>
                <w:sz w:val="26"/>
                <w:lang w:val="en-US" w:eastAsia="zh-CN"/>
              </w:rPr>
            </w:pPr>
          </w:p>
          <w:p>
            <w:pPr>
              <w:pStyle w:val="10"/>
              <w:ind w:firstLine="260" w:firstLineChars="100"/>
              <w:rPr>
                <w:rFonts w:hint="eastAsia" w:ascii="Times New Roman" w:eastAsia="宋体"/>
                <w:sz w:val="26"/>
                <w:lang w:val="en-US" w:eastAsia="zh-CN"/>
              </w:rPr>
            </w:pPr>
            <w:r>
              <w:rPr>
                <w:rFonts w:hint="eastAsia" w:ascii="Times New Roman"/>
                <w:sz w:val="26"/>
                <w:lang w:val="en-US" w:eastAsia="zh-CN"/>
              </w:rPr>
              <w:t>2</w:t>
            </w:r>
          </w:p>
        </w:tc>
        <w:tc>
          <w:tcPr>
            <w:tcW w:w="1931" w:type="dxa"/>
            <w:vAlign w:val="top"/>
          </w:tcPr>
          <w:p>
            <w:pPr>
              <w:pStyle w:val="10"/>
              <w:rPr>
                <w:rFonts w:hint="eastAsia" w:ascii="Times New Roman"/>
                <w:sz w:val="26"/>
                <w:lang w:eastAsia="zh-CN"/>
              </w:rPr>
            </w:pPr>
          </w:p>
          <w:p>
            <w:pPr>
              <w:pStyle w:val="10"/>
              <w:rPr>
                <w:rFonts w:ascii="Times New Roman" w:hAnsi="宋体" w:eastAsia="宋体" w:cs="宋体"/>
                <w:sz w:val="26"/>
                <w:szCs w:val="22"/>
                <w:lang w:val="en-US" w:eastAsia="zh-CN" w:bidi="ar-SA"/>
              </w:rPr>
            </w:pPr>
            <w:r>
              <w:rPr>
                <w:rFonts w:hint="eastAsia" w:ascii="Times New Roman"/>
                <w:sz w:val="26"/>
                <w:lang w:eastAsia="zh-CN"/>
              </w:rPr>
              <w:t>以提高学生数学建模能力为目标的教学改革实践</w:t>
            </w:r>
          </w:p>
        </w:tc>
        <w:tc>
          <w:tcPr>
            <w:tcW w:w="1849" w:type="dxa"/>
            <w:vAlign w:val="top"/>
          </w:tcPr>
          <w:p>
            <w:pPr>
              <w:pStyle w:val="10"/>
              <w:rPr>
                <w:rFonts w:ascii="Times New Roman" w:hAnsi="宋体" w:eastAsia="宋体" w:cs="宋体"/>
                <w:sz w:val="26"/>
                <w:szCs w:val="22"/>
                <w:lang w:val="en-US" w:eastAsia="zh-CN" w:bidi="ar-SA"/>
              </w:rPr>
            </w:pPr>
            <w:r>
              <w:rPr>
                <w:rFonts w:hint="eastAsia" w:ascii="Times New Roman"/>
                <w:sz w:val="26"/>
                <w:lang w:eastAsia="zh-CN"/>
              </w:rPr>
              <w:t>谢雅洵、蒋心学、吴昊、李丽侦、唐飞笼、聂茜、何杭佳、夏海峰、杨益党</w:t>
            </w:r>
          </w:p>
        </w:tc>
        <w:tc>
          <w:tcPr>
            <w:tcW w:w="1299" w:type="dxa"/>
            <w:vAlign w:val="top"/>
          </w:tcPr>
          <w:p>
            <w:pPr>
              <w:pStyle w:val="10"/>
              <w:jc w:val="center"/>
              <w:rPr>
                <w:rFonts w:ascii="Times New Roman" w:hAnsi="宋体" w:eastAsia="宋体" w:cs="宋体"/>
                <w:sz w:val="26"/>
                <w:szCs w:val="22"/>
                <w:lang w:val="en-US" w:eastAsia="zh-CN" w:bidi="ar-SA"/>
              </w:rPr>
            </w:pPr>
            <w:r>
              <w:rPr>
                <w:rFonts w:hint="eastAsia" w:ascii="Times New Roman"/>
                <w:sz w:val="26"/>
                <w:lang w:eastAsia="zh-CN"/>
              </w:rPr>
              <w:t>南宁师范大学师园学院</w:t>
            </w:r>
          </w:p>
        </w:tc>
        <w:tc>
          <w:tcPr>
            <w:tcW w:w="926" w:type="dxa"/>
            <w:vAlign w:val="top"/>
          </w:tcPr>
          <w:p>
            <w:pPr>
              <w:pStyle w:val="10"/>
              <w:jc w:val="center"/>
              <w:rPr>
                <w:rFonts w:hint="eastAsia" w:ascii="Times New Roman"/>
                <w:sz w:val="26"/>
                <w:lang w:eastAsia="zh-CN"/>
              </w:rPr>
            </w:pPr>
          </w:p>
          <w:p>
            <w:pPr>
              <w:pStyle w:val="10"/>
              <w:jc w:val="center"/>
              <w:rPr>
                <w:rFonts w:hint="eastAsia" w:ascii="Times New Roman"/>
                <w:sz w:val="26"/>
                <w:lang w:eastAsia="zh-CN"/>
              </w:rPr>
            </w:pPr>
          </w:p>
          <w:p>
            <w:pPr>
              <w:pStyle w:val="10"/>
              <w:jc w:val="center"/>
              <w:rPr>
                <w:rFonts w:ascii="Times New Roman" w:hAnsi="宋体" w:eastAsia="宋体" w:cs="宋体"/>
                <w:sz w:val="26"/>
                <w:szCs w:val="22"/>
                <w:lang w:val="en-US" w:eastAsia="zh-CN" w:bidi="ar-SA"/>
              </w:rPr>
            </w:pPr>
            <w:r>
              <w:rPr>
                <w:rFonts w:hint="eastAsia" w:ascii="Times New Roman"/>
                <w:sz w:val="26"/>
                <w:lang w:eastAsia="zh-CN"/>
              </w:rPr>
              <w:t>11071</w:t>
            </w:r>
          </w:p>
        </w:tc>
        <w:tc>
          <w:tcPr>
            <w:tcW w:w="1481" w:type="dxa"/>
            <w:vAlign w:val="top"/>
          </w:tcPr>
          <w:p>
            <w:pPr>
              <w:pStyle w:val="10"/>
              <w:jc w:val="center"/>
              <w:rPr>
                <w:rFonts w:hint="eastAsia" w:ascii="Times New Roman"/>
                <w:sz w:val="26"/>
                <w:lang w:eastAsia="zh-CN"/>
              </w:rPr>
            </w:pPr>
          </w:p>
          <w:p>
            <w:pPr>
              <w:pStyle w:val="10"/>
              <w:jc w:val="center"/>
              <w:rPr>
                <w:rFonts w:hint="eastAsia" w:ascii="Times New Roman"/>
                <w:sz w:val="26"/>
                <w:lang w:eastAsia="zh-CN"/>
              </w:rPr>
            </w:pPr>
          </w:p>
          <w:p>
            <w:pPr>
              <w:pStyle w:val="10"/>
              <w:jc w:val="center"/>
              <w:rPr>
                <w:rFonts w:ascii="Times New Roman" w:hAnsi="宋体" w:eastAsia="宋体" w:cs="宋体"/>
                <w:sz w:val="26"/>
                <w:szCs w:val="22"/>
                <w:lang w:val="en-US" w:eastAsia="en-US" w:bidi="ar-SA"/>
              </w:rPr>
            </w:pPr>
            <w:r>
              <w:rPr>
                <w:rFonts w:hint="eastAsia" w:ascii="Times New Roman"/>
                <w:sz w:val="26"/>
                <w:lang w:eastAsia="zh-CN"/>
              </w:rPr>
              <w:t>3.5</w:t>
            </w:r>
          </w:p>
        </w:tc>
        <w:tc>
          <w:tcPr>
            <w:tcW w:w="846" w:type="dxa"/>
          </w:tcPr>
          <w:p>
            <w:pPr>
              <w:pStyle w:val="10"/>
              <w:rPr>
                <w:rFonts w:ascii="Times New Roman"/>
                <w:sz w:val="26"/>
              </w:rPr>
            </w:pPr>
          </w:p>
        </w:tc>
      </w:tr>
    </w:tbl>
    <w:p>
      <w:pPr>
        <w:pStyle w:val="2"/>
        <w:spacing w:before="2"/>
        <w:ind w:left="346"/>
        <w:rPr>
          <w:lang w:eastAsia="zh-CN"/>
        </w:rPr>
      </w:pPr>
      <w:r>
        <w:rPr>
          <w:w w:val="95"/>
          <w:lang w:eastAsia="zh-CN"/>
        </w:rPr>
        <w:t>注：</w:t>
      </w:r>
      <w:r>
        <w:rPr>
          <w:rFonts w:ascii="Times New Roman" w:eastAsia="Times New Roman"/>
          <w:w w:val="95"/>
          <w:lang w:eastAsia="zh-CN"/>
        </w:rPr>
        <w:t>1</w:t>
      </w:r>
      <w:r>
        <w:rPr>
          <w:w w:val="95"/>
          <w:lang w:eastAsia="zh-CN"/>
        </w:rPr>
        <w:t>.</w:t>
      </w:r>
      <w:r>
        <w:rPr>
          <w:spacing w:val="170"/>
          <w:lang w:eastAsia="zh-CN"/>
        </w:rPr>
        <w:t xml:space="preserve"> </w:t>
      </w:r>
      <w:r>
        <w:rPr>
          <w:spacing w:val="1"/>
          <w:w w:val="95"/>
          <w:lang w:eastAsia="zh-CN"/>
        </w:rPr>
        <w:t xml:space="preserve">推荐序号、类别代码的填写要求详见附件 </w:t>
      </w:r>
      <w:r>
        <w:rPr>
          <w:rFonts w:ascii="Times New Roman" w:eastAsia="Times New Roman"/>
          <w:w w:val="95"/>
          <w:lang w:eastAsia="zh-CN"/>
        </w:rPr>
        <w:t>5</w:t>
      </w:r>
      <w:r>
        <w:rPr>
          <w:rFonts w:ascii="Times New Roman" w:eastAsia="Times New Roman"/>
          <w:spacing w:val="85"/>
          <w:lang w:eastAsia="zh-CN"/>
        </w:rPr>
        <w:t xml:space="preserve"> </w:t>
      </w:r>
      <w:r>
        <w:rPr>
          <w:w w:val="95"/>
          <w:lang w:eastAsia="zh-CN"/>
        </w:rPr>
        <w:t>中的填写说明。</w:t>
      </w:r>
    </w:p>
    <w:p>
      <w:pPr>
        <w:pStyle w:val="9"/>
        <w:numPr>
          <w:ilvl w:val="0"/>
          <w:numId w:val="1"/>
        </w:numPr>
        <w:tabs>
          <w:tab w:val="left" w:pos="1187"/>
        </w:tabs>
        <w:ind w:hanging="361"/>
        <w:rPr>
          <w:sz w:val="24"/>
          <w:lang w:eastAsia="zh-CN"/>
        </w:rPr>
      </w:pPr>
      <w:r>
        <w:rPr>
          <w:sz w:val="24"/>
          <w:lang w:eastAsia="zh-CN"/>
        </w:rPr>
        <w:t>主要完成人姓名及成果主要完成单位之间用“、”隔开。</w:t>
      </w:r>
    </w:p>
    <w:p>
      <w:pPr>
        <w:pStyle w:val="9"/>
        <w:numPr>
          <w:ilvl w:val="0"/>
          <w:numId w:val="1"/>
        </w:numPr>
        <w:tabs>
          <w:tab w:val="left" w:pos="1187"/>
        </w:tabs>
        <w:spacing w:before="4" w:line="242" w:lineRule="auto"/>
        <w:ind w:left="226" w:right="231" w:firstLine="600"/>
        <w:rPr>
          <w:sz w:val="24"/>
          <w:lang w:eastAsia="zh-CN"/>
        </w:rPr>
      </w:pPr>
      <w:r>
        <w:rPr>
          <w:spacing w:val="-2"/>
          <w:sz w:val="24"/>
          <w:lang w:eastAsia="zh-CN"/>
        </w:rPr>
        <w:t>实践检验期应从正式实施</w:t>
      </w:r>
      <w:r>
        <w:rPr>
          <w:spacing w:val="-1"/>
          <w:sz w:val="24"/>
          <w:lang w:eastAsia="zh-CN"/>
        </w:rPr>
        <w:t>（包括试行）教育教学方案的时间开始计算，单位</w:t>
      </w:r>
      <w:r>
        <w:rPr>
          <w:sz w:val="24"/>
          <w:lang w:eastAsia="zh-CN"/>
        </w:rPr>
        <w:t>为年，应与申请书中填写的保持一致。</w:t>
      </w:r>
    </w:p>
    <w:p>
      <w:pPr>
        <w:pStyle w:val="9"/>
        <w:numPr>
          <w:ilvl w:val="0"/>
          <w:numId w:val="1"/>
        </w:numPr>
        <w:tabs>
          <w:tab w:val="left" w:pos="1187"/>
          <w:tab w:val="left" w:pos="5986"/>
        </w:tabs>
        <w:spacing w:before="3" w:line="578" w:lineRule="auto"/>
        <w:ind w:right="917"/>
        <w:rPr>
          <w:sz w:val="24"/>
          <w:lang w:eastAsia="zh-CN"/>
        </w:rPr>
      </w:pPr>
      <w:r>
        <w:rPr>
          <w:spacing w:val="-1"/>
          <w:sz w:val="24"/>
          <w:lang w:eastAsia="zh-CN"/>
        </w:rPr>
        <w:t>备注</w:t>
      </w:r>
      <w:r>
        <w:rPr>
          <w:sz w:val="24"/>
          <w:lang w:eastAsia="zh-CN"/>
        </w:rPr>
        <w:t>：如为教指委推荐项目，填写“教指委”。其余情况无需填写。填表人：</w:t>
      </w:r>
      <w:r>
        <w:rPr>
          <w:rFonts w:hint="eastAsia"/>
          <w:sz w:val="24"/>
          <w:lang w:val="en-US" w:eastAsia="zh-CN"/>
        </w:rPr>
        <w:t xml:space="preserve">韦露兰                         </w:t>
      </w:r>
      <w:r>
        <w:rPr>
          <w:sz w:val="24"/>
          <w:lang w:eastAsia="zh-CN"/>
        </w:rPr>
        <w:t>联系电话：</w:t>
      </w:r>
      <w:r>
        <w:rPr>
          <w:rFonts w:hint="eastAsia"/>
          <w:sz w:val="24"/>
          <w:lang w:val="en-US" w:eastAsia="zh-CN"/>
        </w:rPr>
        <w:t>15277046759</w:t>
      </w: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p>
      <w:pPr>
        <w:pStyle w:val="2"/>
        <w:rPr>
          <w:sz w:val="20"/>
          <w:lang w:eastAsia="zh-CN"/>
        </w:rPr>
      </w:pPr>
    </w:p>
    <w:sectPr>
      <w:type w:val="continuous"/>
      <w:pgSz w:w="11910" w:h="16840"/>
      <w:pgMar w:top="1580" w:right="1240" w:bottom="280" w:left="13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D3F86"/>
    <w:multiLevelType w:val="multilevel"/>
    <w:tmpl w:val="540D3F86"/>
    <w:lvl w:ilvl="0" w:tentative="0">
      <w:start w:val="2"/>
      <w:numFmt w:val="decimal"/>
      <w:lvlText w:val="%1."/>
      <w:lvlJc w:val="left"/>
      <w:pPr>
        <w:ind w:left="1186" w:hanging="360"/>
        <w:jc w:val="left"/>
      </w:pPr>
      <w:rPr>
        <w:rFonts w:hint="default" w:ascii="Times New Roman" w:hAnsi="Times New Roman" w:eastAsia="Times New Roman" w:cs="Times New Roman"/>
        <w:b w:val="0"/>
        <w:bCs w:val="0"/>
        <w:i w:val="0"/>
        <w:iCs w:val="0"/>
        <w:w w:val="100"/>
        <w:sz w:val="24"/>
        <w:szCs w:val="24"/>
      </w:rPr>
    </w:lvl>
    <w:lvl w:ilvl="1" w:tentative="0">
      <w:start w:val="0"/>
      <w:numFmt w:val="bullet"/>
      <w:lvlText w:val="•"/>
      <w:lvlJc w:val="left"/>
      <w:pPr>
        <w:ind w:left="1992" w:hanging="360"/>
      </w:pPr>
      <w:rPr>
        <w:rFonts w:hint="default"/>
      </w:rPr>
    </w:lvl>
    <w:lvl w:ilvl="2" w:tentative="0">
      <w:start w:val="0"/>
      <w:numFmt w:val="bullet"/>
      <w:lvlText w:val="•"/>
      <w:lvlJc w:val="left"/>
      <w:pPr>
        <w:ind w:left="2805" w:hanging="360"/>
      </w:pPr>
      <w:rPr>
        <w:rFonts w:hint="default"/>
      </w:rPr>
    </w:lvl>
    <w:lvl w:ilvl="3" w:tentative="0">
      <w:start w:val="0"/>
      <w:numFmt w:val="bullet"/>
      <w:lvlText w:val="•"/>
      <w:lvlJc w:val="left"/>
      <w:pPr>
        <w:ind w:left="3617" w:hanging="360"/>
      </w:pPr>
      <w:rPr>
        <w:rFonts w:hint="default"/>
      </w:rPr>
    </w:lvl>
    <w:lvl w:ilvl="4" w:tentative="0">
      <w:start w:val="0"/>
      <w:numFmt w:val="bullet"/>
      <w:lvlText w:val="•"/>
      <w:lvlJc w:val="left"/>
      <w:pPr>
        <w:ind w:left="4430" w:hanging="360"/>
      </w:pPr>
      <w:rPr>
        <w:rFonts w:hint="default"/>
      </w:rPr>
    </w:lvl>
    <w:lvl w:ilvl="5" w:tentative="0">
      <w:start w:val="0"/>
      <w:numFmt w:val="bullet"/>
      <w:lvlText w:val="•"/>
      <w:lvlJc w:val="left"/>
      <w:pPr>
        <w:ind w:left="5243" w:hanging="360"/>
      </w:pPr>
      <w:rPr>
        <w:rFonts w:hint="default"/>
      </w:rPr>
    </w:lvl>
    <w:lvl w:ilvl="6" w:tentative="0">
      <w:start w:val="0"/>
      <w:numFmt w:val="bullet"/>
      <w:lvlText w:val="•"/>
      <w:lvlJc w:val="left"/>
      <w:pPr>
        <w:ind w:left="6055" w:hanging="360"/>
      </w:pPr>
      <w:rPr>
        <w:rFonts w:hint="default"/>
      </w:rPr>
    </w:lvl>
    <w:lvl w:ilvl="7" w:tentative="0">
      <w:start w:val="0"/>
      <w:numFmt w:val="bullet"/>
      <w:lvlText w:val="•"/>
      <w:lvlJc w:val="left"/>
      <w:pPr>
        <w:ind w:left="6868" w:hanging="360"/>
      </w:pPr>
      <w:rPr>
        <w:rFonts w:hint="default"/>
      </w:rPr>
    </w:lvl>
    <w:lvl w:ilvl="8" w:tentative="0">
      <w:start w:val="0"/>
      <w:numFmt w:val="bullet"/>
      <w:lvlText w:val="•"/>
      <w:lvlJc w:val="left"/>
      <w:pPr>
        <w:ind w:left="76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ZDJlODQ0ODRhMGQwZTUxMzIzODNlZTI0NTlhMzBjZTAifQ=="/>
  </w:docVars>
  <w:rsids>
    <w:rsidRoot w:val="00BB1B97"/>
    <w:rsid w:val="00523022"/>
    <w:rsid w:val="00BB1B97"/>
    <w:rsid w:val="00CE4180"/>
    <w:rsid w:val="02FA082F"/>
    <w:rsid w:val="064F49ED"/>
    <w:rsid w:val="072726B2"/>
    <w:rsid w:val="082B18A7"/>
    <w:rsid w:val="0EA1561E"/>
    <w:rsid w:val="14F74BCE"/>
    <w:rsid w:val="2B5F05CB"/>
    <w:rsid w:val="2C1C51EE"/>
    <w:rsid w:val="2F1C1962"/>
    <w:rsid w:val="37DF4383"/>
    <w:rsid w:val="432F6FF6"/>
    <w:rsid w:val="4689127A"/>
    <w:rsid w:val="468E4AE3"/>
    <w:rsid w:val="4F9A0D8E"/>
    <w:rsid w:val="54336738"/>
    <w:rsid w:val="567F7FA4"/>
    <w:rsid w:val="766D79C1"/>
    <w:rsid w:val="7FC55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1"/>
    <w:pPr>
      <w:spacing w:before="265"/>
      <w:ind w:left="1788" w:right="421" w:hanging="1376"/>
    </w:pPr>
    <w:rPr>
      <w:rFonts w:ascii="Arial Unicode MS" w:hAnsi="Arial Unicode MS" w:eastAsia="Arial Unicode MS" w:cs="Arial Unicode MS"/>
      <w:sz w:val="44"/>
      <w:szCs w:val="4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
      <w:ind w:left="1186" w:hanging="361"/>
    </w:pPr>
  </w:style>
  <w:style w:type="paragraph" w:customStyle="1" w:styleId="10">
    <w:name w:val="Table Paragraph"/>
    <w:basedOn w:val="1"/>
    <w:qFormat/>
    <w:uiPriority w:val="1"/>
  </w:style>
  <w:style w:type="character" w:customStyle="1" w:styleId="11">
    <w:name w:val="页眉 Char"/>
    <w:basedOn w:val="7"/>
    <w:link w:val="4"/>
    <w:qFormat/>
    <w:uiPriority w:val="99"/>
    <w:rPr>
      <w:rFonts w:ascii="宋体" w:hAnsi="宋体" w:eastAsia="宋体" w:cs="宋体"/>
      <w:sz w:val="18"/>
      <w:szCs w:val="18"/>
    </w:rPr>
  </w:style>
  <w:style w:type="character" w:customStyle="1" w:styleId="12">
    <w:name w:val="页脚 Char"/>
    <w:basedOn w:val="7"/>
    <w:link w:val="3"/>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367</Words>
  <Characters>397</Characters>
  <Lines>2</Lines>
  <Paragraphs>1</Paragraphs>
  <TotalTime>68</TotalTime>
  <ScaleCrop>false</ScaleCrop>
  <LinksUpToDate>false</LinksUpToDate>
  <CharactersWithSpaces>432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2023-05-16T07:45:00Z</dcterms:created>
  <dc:creator>lenovo</dc:creator>
  <cp:lastModifiedBy>苦瓜.</cp:lastModifiedBy>
  <dcterms:modified xsi:type="dcterms:W3CDTF">2023-06-30T08:29:37Z</dcterms:modified>
  <dc:title>桂教高教〔2012〕43号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WPS 文字</vt:lpwstr>
  </property>
  <property fmtid="{D5CDD505-2E9C-101B-9397-08002B2CF9AE}" pid="4" name="LastSaved">
    <vt:filetime>2023-05-16T00:00:00Z</vt:filetime>
  </property>
  <property fmtid="{D5CDD505-2E9C-101B-9397-08002B2CF9AE}" pid="5" name="KSOProductBuildVer">
    <vt:lpwstr>2052-11.1.0.14309</vt:lpwstr>
  </property>
  <property fmtid="{D5CDD505-2E9C-101B-9397-08002B2CF9AE}" pid="6" name="ICV">
    <vt:lpwstr>9389F04EBB214020B3B25DBEE5463586_13</vt:lpwstr>
  </property>
</Properties>
</file>